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618"/>
        <w:gridCol w:w="3618"/>
        <w:gridCol w:w="7341"/>
      </w:tblGrid>
      <w:tr w:rsidR="006D3CF6" w:rsidTr="00245970">
        <w:tc>
          <w:tcPr>
            <w:tcW w:w="3618" w:type="dxa"/>
          </w:tcPr>
          <w:p w:rsidR="006D3CF6" w:rsidRDefault="006D3CF6" w:rsidP="003F381B">
            <w:pPr>
              <w:rPr>
                <w:b/>
                <w:lang w:val="fr-BE"/>
              </w:rPr>
            </w:pPr>
            <w:r w:rsidRPr="00D241EA">
              <w:rPr>
                <w:b/>
                <w:lang w:val="fr-BE"/>
              </w:rPr>
              <w:t>Intitulé du dispositif :</w:t>
            </w:r>
          </w:p>
          <w:p w:rsidR="006D3CF6" w:rsidRDefault="006D3CF6" w:rsidP="003F381B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            </w:t>
            </w:r>
          </w:p>
          <w:p w:rsidR="006D3CF6" w:rsidRDefault="006D3CF6" w:rsidP="003F381B">
            <w:pPr>
              <w:rPr>
                <w:b/>
                <w:sz w:val="32"/>
                <w:szCs w:val="32"/>
                <w:lang w:val="fr-BE"/>
              </w:rPr>
            </w:pPr>
            <w:r w:rsidRPr="00A708B7">
              <w:rPr>
                <w:b/>
                <w:sz w:val="32"/>
                <w:szCs w:val="32"/>
                <w:lang w:val="fr-BE"/>
              </w:rPr>
              <w:t>3P POLYVALENT</w:t>
            </w:r>
            <w:r>
              <w:rPr>
                <w:b/>
                <w:sz w:val="32"/>
                <w:szCs w:val="32"/>
                <w:lang w:val="fr-BE"/>
              </w:rPr>
              <w:t>E</w:t>
            </w:r>
          </w:p>
          <w:p w:rsidR="00170C18" w:rsidRDefault="00170C18" w:rsidP="003F381B">
            <w:pPr>
              <w:rPr>
                <w:b/>
                <w:lang w:val="fr-BE"/>
              </w:rPr>
            </w:pPr>
          </w:p>
          <w:p w:rsidR="00170C18" w:rsidRDefault="00170C18" w:rsidP="003F381B">
            <w:pPr>
              <w:rPr>
                <w:b/>
                <w:lang w:val="fr-BE"/>
              </w:rPr>
            </w:pPr>
          </w:p>
        </w:tc>
        <w:tc>
          <w:tcPr>
            <w:tcW w:w="3618" w:type="dxa"/>
          </w:tcPr>
          <w:p w:rsidR="00170C18" w:rsidRPr="00170C18" w:rsidRDefault="00170C18" w:rsidP="003F381B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32"/>
                <w:szCs w:val="32"/>
                <w:lang w:val="fr-BE"/>
              </w:rPr>
              <w:t xml:space="preserve">    </w:t>
            </w:r>
            <w:r w:rsidRPr="00170C18">
              <w:rPr>
                <w:b/>
                <w:sz w:val="32"/>
                <w:szCs w:val="32"/>
                <w:lang w:val="fr-BE"/>
              </w:rPr>
              <w:drawing>
                <wp:inline distT="0" distB="0" distL="0" distR="0" wp14:anchorId="77115856" wp14:editId="6F76DEBD">
                  <wp:extent cx="623451" cy="759417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05" cy="80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  <w:lang w:val="fr-BE"/>
              </w:rPr>
              <w:t xml:space="preserve"> </w:t>
            </w:r>
            <w:r w:rsidR="006D3CF6">
              <w:rPr>
                <w:b/>
                <w:sz w:val="32"/>
                <w:szCs w:val="32"/>
                <w:lang w:val="fr-BE"/>
              </w:rPr>
              <w:t xml:space="preserve"> </w:t>
            </w:r>
            <w:r w:rsidRPr="00170C18">
              <w:rPr>
                <w:b/>
                <w:sz w:val="16"/>
                <w:szCs w:val="16"/>
                <w:lang w:val="fr-BE"/>
              </w:rPr>
              <w:fldChar w:fldCharType="begin"/>
            </w:r>
            <w:r w:rsidRPr="00170C18">
              <w:rPr>
                <w:b/>
                <w:sz w:val="16"/>
                <w:szCs w:val="16"/>
                <w:lang w:val="fr-BE"/>
              </w:rPr>
              <w:instrText xml:space="preserve"> HYPERLINK "</w:instrText>
            </w:r>
            <w:r w:rsidRPr="00170C18">
              <w:rPr>
                <w:b/>
                <w:sz w:val="16"/>
                <w:szCs w:val="16"/>
                <w:lang w:val="fr-BE"/>
              </w:rPr>
              <w:instrText>https://fesec.be/wp-content/uploads/2020/11/outil-3-POL-25.09.2020.pdf</w:instrText>
            </w:r>
            <w:r w:rsidRPr="00170C18">
              <w:rPr>
                <w:b/>
                <w:sz w:val="16"/>
                <w:szCs w:val="16"/>
                <w:lang w:val="fr-BE"/>
              </w:rPr>
              <w:instrText xml:space="preserve">" </w:instrText>
            </w:r>
            <w:r w:rsidRPr="00170C18">
              <w:rPr>
                <w:b/>
                <w:sz w:val="16"/>
                <w:szCs w:val="16"/>
                <w:lang w:val="fr-BE"/>
              </w:rPr>
              <w:fldChar w:fldCharType="separate"/>
            </w:r>
            <w:r w:rsidRPr="00170C18">
              <w:rPr>
                <w:rStyle w:val="Lienhypertexte"/>
                <w:b/>
                <w:sz w:val="16"/>
                <w:szCs w:val="16"/>
                <w:lang w:val="fr-BE"/>
              </w:rPr>
              <w:t>https://fesec.b</w:t>
            </w:r>
            <w:r w:rsidRPr="00170C18">
              <w:rPr>
                <w:rStyle w:val="Lienhypertexte"/>
                <w:b/>
                <w:sz w:val="16"/>
                <w:szCs w:val="16"/>
                <w:lang w:val="fr-BE"/>
              </w:rPr>
              <w:t>e</w:t>
            </w:r>
            <w:r w:rsidRPr="00170C18">
              <w:rPr>
                <w:rStyle w:val="Lienhypertexte"/>
                <w:b/>
                <w:sz w:val="16"/>
                <w:szCs w:val="16"/>
                <w:lang w:val="fr-BE"/>
              </w:rPr>
              <w:t>/wp-content/uploads/2</w:t>
            </w:r>
            <w:r w:rsidRPr="00170C18">
              <w:rPr>
                <w:rStyle w:val="Lienhypertexte"/>
                <w:b/>
                <w:sz w:val="16"/>
                <w:szCs w:val="16"/>
                <w:lang w:val="fr-BE"/>
              </w:rPr>
              <w:t>0</w:t>
            </w:r>
            <w:r w:rsidRPr="00170C18">
              <w:rPr>
                <w:rStyle w:val="Lienhypertexte"/>
                <w:b/>
                <w:sz w:val="16"/>
                <w:szCs w:val="16"/>
                <w:lang w:val="fr-BE"/>
              </w:rPr>
              <w:t>20/11/outil-3-POL-25.09.2020.pdf</w:t>
            </w:r>
            <w:r w:rsidRPr="00170C18">
              <w:rPr>
                <w:b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7341" w:type="dxa"/>
          </w:tcPr>
          <w:p w:rsidR="006D3CF6" w:rsidRPr="00A23B3E" w:rsidRDefault="006D3CF6" w:rsidP="003F381B">
            <w:pPr>
              <w:ind w:right="-4335"/>
              <w:rPr>
                <w:b/>
              </w:rPr>
            </w:pPr>
            <w:r w:rsidRPr="00A23B3E">
              <w:rPr>
                <w:b/>
              </w:rPr>
              <w:t>Objectif(s) poursuivi(s)</w:t>
            </w:r>
            <w:r>
              <w:rPr>
                <w:b/>
              </w:rPr>
              <w:t xml:space="preserve"> </w:t>
            </w:r>
            <w:r w:rsidRPr="00A23B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D3CF6" w:rsidRPr="00A708B7" w:rsidRDefault="006D3CF6" w:rsidP="00A708B7">
            <w:pPr>
              <w:pStyle w:val="NormalWeb"/>
              <w:rPr>
                <w:b/>
                <w:bCs/>
              </w:rPr>
            </w:pPr>
            <w:r w:rsidRPr="00A708B7">
              <w:rPr>
                <w:b/>
                <w:bCs/>
              </w:rPr>
              <w:t>Permettre à l’élève de 3P de donner du sens à son cursus.</w:t>
            </w:r>
          </w:p>
          <w:p w:rsidR="006D3CF6" w:rsidRPr="00A23B3E" w:rsidRDefault="006D3CF6" w:rsidP="00A708B7">
            <w:pPr>
              <w:ind w:right="-4335"/>
            </w:pPr>
          </w:p>
        </w:tc>
      </w:tr>
      <w:tr w:rsidR="00D241EA" w:rsidTr="00A708B7">
        <w:tc>
          <w:tcPr>
            <w:tcW w:w="14577" w:type="dxa"/>
            <w:gridSpan w:val="3"/>
          </w:tcPr>
          <w:p w:rsidR="00BD404F" w:rsidRDefault="00BD404F" w:rsidP="005254C7">
            <w:pPr>
              <w:ind w:right="-4335"/>
              <w:rPr>
                <w:b/>
                <w:lang w:val="fr-BE"/>
              </w:rPr>
            </w:pPr>
          </w:p>
          <w:p w:rsidR="005254C7" w:rsidRDefault="005254C7" w:rsidP="005254C7">
            <w:pPr>
              <w:ind w:right="-4335"/>
              <w:rPr>
                <w:bCs/>
                <w:lang w:val="fr-BE"/>
              </w:rPr>
            </w:pPr>
            <w:r>
              <w:rPr>
                <w:bCs/>
                <w:lang w:val="fr-BE"/>
              </w:rPr>
              <w:t>Ce dispositif</w:t>
            </w:r>
            <w:r w:rsidR="00A708B7">
              <w:rPr>
                <w:bCs/>
                <w:lang w:val="fr-BE"/>
              </w:rPr>
              <w:t xml:space="preserve"> au service </w:t>
            </w:r>
            <w:r>
              <w:rPr>
                <w:bCs/>
                <w:lang w:val="fr-BE"/>
              </w:rPr>
              <w:t xml:space="preserve">des projets du jeune articule </w:t>
            </w:r>
            <w:r w:rsidRPr="005254C7">
              <w:rPr>
                <w:b/>
                <w:lang w:val="fr-BE"/>
              </w:rPr>
              <w:t>formation générale</w:t>
            </w:r>
            <w:r>
              <w:rPr>
                <w:bCs/>
                <w:lang w:val="fr-BE"/>
              </w:rPr>
              <w:t xml:space="preserve">, </w:t>
            </w:r>
            <w:r w:rsidRPr="005254C7">
              <w:rPr>
                <w:b/>
                <w:lang w:val="fr-BE"/>
              </w:rPr>
              <w:t>découverte de plusieurs métiers</w:t>
            </w:r>
            <w:r>
              <w:rPr>
                <w:bCs/>
                <w:lang w:val="fr-BE"/>
              </w:rPr>
              <w:t xml:space="preserve"> et </w:t>
            </w:r>
            <w:r w:rsidRPr="005254C7">
              <w:rPr>
                <w:b/>
                <w:lang w:val="fr-BE"/>
              </w:rPr>
              <w:t>éducation aux choix</w:t>
            </w:r>
            <w:r>
              <w:rPr>
                <w:b/>
                <w:lang w:val="fr-BE"/>
              </w:rPr>
              <w:t>.</w:t>
            </w:r>
            <w:r>
              <w:rPr>
                <w:bCs/>
                <w:lang w:val="fr-BE"/>
              </w:rPr>
              <w:t> </w:t>
            </w:r>
          </w:p>
          <w:p w:rsidR="005254C7" w:rsidRDefault="005254C7" w:rsidP="005254C7">
            <w:pPr>
              <w:ind w:right="-4335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lang w:val="fr-BE"/>
              </w:rPr>
              <w:t xml:space="preserve">La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position w:val="8"/>
                <w:sz w:val="14"/>
                <w:szCs w:val="14"/>
              </w:rPr>
              <w:t xml:space="preserve">e </w:t>
            </w:r>
            <w:r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 xml:space="preserve">Polyvalente est construite à partir des options et cours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organisés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 </w:t>
            </w:r>
            <w:r w:rsidR="00035102">
              <w:rPr>
                <w:rFonts w:ascii="Calibri" w:hAnsi="Calibri"/>
                <w:sz w:val="22"/>
                <w:szCs w:val="22"/>
              </w:rPr>
              <w:t>2</w:t>
            </w:r>
            <w:r w:rsidR="00035102" w:rsidRPr="00035102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 w:rsidR="00035102">
              <w:rPr>
                <w:rFonts w:ascii="Calibri" w:hAnsi="Calibri"/>
                <w:sz w:val="22"/>
                <w:szCs w:val="22"/>
              </w:rPr>
              <w:t xml:space="preserve"> degré Professionnel </w:t>
            </w:r>
            <w:r>
              <w:rPr>
                <w:rFonts w:ascii="Calibri" w:hAnsi="Calibri"/>
                <w:sz w:val="22"/>
                <w:szCs w:val="22"/>
              </w:rPr>
              <w:t>dans l’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établissement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concerné : </w:t>
            </w:r>
          </w:p>
          <w:p w:rsidR="005254C7" w:rsidRDefault="005254C7" w:rsidP="005254C7">
            <w:pPr>
              <w:ind w:right="-4335"/>
              <w:rPr>
                <w:rFonts w:ascii="Calibri" w:hAnsi="Calibri"/>
                <w:color w:val="232323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32323"/>
                <w:sz w:val="22"/>
                <w:szCs w:val="22"/>
              </w:rPr>
              <w:t>✓</w:t>
            </w:r>
            <w:r>
              <w:rPr>
                <w:rFonts w:ascii="Wingdings" w:hAnsi="Wingdings"/>
                <w:color w:val="23232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Formation </w:t>
            </w:r>
            <w:proofErr w:type="spellStart"/>
            <w:r>
              <w:rPr>
                <w:rFonts w:ascii="Calibri" w:hAnsi="Calibri"/>
                <w:color w:val="232323"/>
                <w:sz w:val="22"/>
                <w:szCs w:val="22"/>
              </w:rPr>
              <w:t>Générale</w:t>
            </w:r>
            <w:proofErr w:type="spellEnd"/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 Commune. </w:t>
            </w:r>
          </w:p>
          <w:p w:rsidR="005254C7" w:rsidRDefault="005254C7" w:rsidP="005254C7">
            <w:pPr>
              <w:ind w:right="-4335"/>
              <w:rPr>
                <w:rFonts w:ascii="Calibri" w:hAnsi="Calibri"/>
                <w:color w:val="232323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232323"/>
                <w:sz w:val="22"/>
                <w:szCs w:val="22"/>
              </w:rPr>
              <w:t>✓</w:t>
            </w:r>
            <w:r>
              <w:rPr>
                <w:rFonts w:ascii="Wingdings" w:hAnsi="Wingdings"/>
                <w:color w:val="23232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Formation optionnelle : </w:t>
            </w:r>
          </w:p>
          <w:p w:rsidR="005254C7" w:rsidRDefault="005254C7" w:rsidP="005254C7">
            <w:pPr>
              <w:pStyle w:val="Paragraphedeliste"/>
              <w:numPr>
                <w:ilvl w:val="0"/>
                <w:numId w:val="1"/>
              </w:numPr>
              <w:ind w:right="-4335"/>
              <w:rPr>
                <w:rFonts w:ascii="Calibri" w:hAnsi="Calibri"/>
                <w:color w:val="232323"/>
                <w:sz w:val="22"/>
                <w:szCs w:val="22"/>
              </w:rPr>
            </w:pP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2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ou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3</w:t>
            </w:r>
            <w:r w:rsidR="00035102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modules</w:t>
            </w:r>
            <w:proofErr w:type="gram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«OBG</w:t>
            </w:r>
            <w:proofErr w:type="gram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»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de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4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à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6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périodes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qui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se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succèdent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ou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sont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organisés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en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parallèle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tout au long de l’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année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(</w:t>
            </w:r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ces modules doivent </w:t>
            </w:r>
          </w:p>
          <w:p w:rsidR="005254C7" w:rsidRPr="005254C7" w:rsidRDefault="005254C7" w:rsidP="005254C7">
            <w:pPr>
              <w:ind w:left="528" w:right="-4335"/>
              <w:rPr>
                <w:rFonts w:ascii="Calibri" w:hAnsi="Calibri"/>
                <w:color w:val="232323"/>
                <w:sz w:val="22"/>
                <w:szCs w:val="22"/>
              </w:rPr>
            </w:pPr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               </w:t>
            </w:r>
            <w:proofErr w:type="spellStart"/>
            <w:proofErr w:type="gram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être</w:t>
            </w:r>
            <w:proofErr w:type="spellEnd"/>
            <w:proofErr w:type="gram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composés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 xml:space="preserve"> de cours existants dans les OBG </w:t>
            </w:r>
            <w:proofErr w:type="spellStart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concernées</w:t>
            </w:r>
            <w:proofErr w:type="spellEnd"/>
            <w:r w:rsidRPr="005254C7">
              <w:rPr>
                <w:rFonts w:ascii="Calibri" w:hAnsi="Calibri"/>
                <w:color w:val="232323"/>
                <w:sz w:val="22"/>
                <w:szCs w:val="22"/>
              </w:rPr>
              <w:t>)</w:t>
            </w:r>
          </w:p>
          <w:p w:rsidR="005254C7" w:rsidRPr="005254C7" w:rsidRDefault="005254C7" w:rsidP="005254C7">
            <w:pPr>
              <w:pStyle w:val="Paragraphedeliste"/>
              <w:numPr>
                <w:ilvl w:val="0"/>
                <w:numId w:val="1"/>
              </w:numPr>
              <w:ind w:right="-4335"/>
              <w:rPr>
                <w:bCs/>
                <w:lang w:val="fr-BE"/>
              </w:rPr>
            </w:pPr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1 module « </w:t>
            </w:r>
            <w:proofErr w:type="spellStart"/>
            <w:r>
              <w:rPr>
                <w:rFonts w:ascii="Calibri" w:hAnsi="Calibri"/>
                <w:color w:val="232323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 aux choix » à 4 </w:t>
            </w:r>
            <w:proofErr w:type="spellStart"/>
            <w:r>
              <w:rPr>
                <w:rFonts w:ascii="Calibri" w:hAnsi="Calibri"/>
                <w:color w:val="232323"/>
                <w:sz w:val="22"/>
                <w:szCs w:val="22"/>
              </w:rPr>
              <w:t>périodes</w:t>
            </w:r>
            <w:proofErr w:type="spellEnd"/>
            <w:r>
              <w:rPr>
                <w:rFonts w:ascii="Calibri" w:hAnsi="Calibri"/>
                <w:color w:val="23232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35102" w:rsidRDefault="00035102" w:rsidP="00035102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L’objectif premier de la 3P Polyvalente est avant tout d’aider l’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élève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à poser un choix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éclaire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́ pour la suite de son parcours. Il s’agit pour l’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élève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prendre conscience de ses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habiletés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ses ressources et de le plonger dans des situations professionnellement significatives et motivantes, sans pour autant viser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développement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prérequis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pointus voire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compétences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préqualifiantes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35102" w:rsidRDefault="00035102" w:rsidP="00035102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Le « travail sur l’orientation » initié dans les Modules « OBG » sera à la fois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développe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́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synthétise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́ dans le Module </w:t>
            </w:r>
            <w:r w:rsidR="006D3CF6">
              <w:rPr>
                <w:rFonts w:ascii="Calibri" w:hAnsi="Calibri"/>
                <w:sz w:val="22"/>
                <w:szCs w:val="22"/>
              </w:rPr>
              <w:t>« 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aux Choix</w:t>
            </w:r>
            <w:r w:rsidR="006D3CF6">
              <w:rPr>
                <w:rFonts w:ascii="Calibri" w:hAnsi="Calibri"/>
                <w:sz w:val="22"/>
                <w:szCs w:val="22"/>
              </w:rPr>
              <w:t> »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D241EA" w:rsidRPr="00D241EA" w:rsidRDefault="00035102" w:rsidP="006D3CF6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La Formation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Générale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Commune, les Modules «OBG» et le Module</w:t>
            </w:r>
            <w:r w:rsidR="006D3CF6">
              <w:rPr>
                <w:rFonts w:ascii="Calibri" w:hAnsi="Calibri"/>
                <w:sz w:val="22"/>
                <w:szCs w:val="22"/>
              </w:rPr>
              <w:t xml:space="preserve"> « </w:t>
            </w:r>
            <w:proofErr w:type="spellStart"/>
            <w:r w:rsidR="006D3CF6">
              <w:rPr>
                <w:rFonts w:ascii="Calibri" w:hAnsi="Calibri"/>
                <w:sz w:val="22"/>
                <w:szCs w:val="22"/>
              </w:rPr>
              <w:t>Education</w:t>
            </w:r>
            <w:proofErr w:type="spellEnd"/>
            <w:r w:rsidR="006D3CF6">
              <w:rPr>
                <w:rFonts w:ascii="Calibri" w:hAnsi="Calibri"/>
                <w:sz w:val="22"/>
                <w:szCs w:val="22"/>
              </w:rPr>
              <w:t xml:space="preserve"> aux Choix » </w:t>
            </w:r>
            <w:r>
              <w:rPr>
                <w:rFonts w:ascii="Calibri" w:hAnsi="Calibri"/>
                <w:sz w:val="22"/>
                <w:szCs w:val="22"/>
              </w:rPr>
              <w:t xml:space="preserve"> travailleront de concert à la fois pour faciliter les apprentissages dans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différents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cours (notamment en faisant des liens entre la FGC et les modules « OBG »)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également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pour amener le jeune à se questionner sur son fonctionnement comme personne et comme apprenant. </w:t>
            </w:r>
          </w:p>
          <w:p w:rsidR="00D241EA" w:rsidRPr="00D241EA" w:rsidRDefault="00D241EA" w:rsidP="003F381B">
            <w:pPr>
              <w:ind w:right="-4335"/>
              <w:rPr>
                <w:b/>
                <w:lang w:val="fr-BE"/>
              </w:rPr>
            </w:pPr>
            <w:r w:rsidRPr="00D241EA">
              <w:rPr>
                <w:b/>
                <w:lang w:val="fr-BE"/>
              </w:rPr>
              <w:t>Points d’attention / conditions de réussite :</w:t>
            </w:r>
          </w:p>
          <w:p w:rsidR="00035102" w:rsidRDefault="00035102" w:rsidP="00035102">
            <w:pPr>
              <w:ind w:right="-43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r w:rsidRPr="006D3CF6">
              <w:rPr>
                <w:rFonts w:ascii="Calibri" w:hAnsi="Calibri"/>
                <w:sz w:val="22"/>
                <w:szCs w:val="22"/>
                <w:u w:val="single"/>
              </w:rPr>
              <w:t xml:space="preserve">communication entre les titulaires des </w:t>
            </w:r>
            <w:proofErr w:type="spellStart"/>
            <w:r w:rsidRPr="006D3CF6">
              <w:rPr>
                <w:rFonts w:ascii="Calibri" w:hAnsi="Calibri"/>
                <w:sz w:val="22"/>
                <w:szCs w:val="22"/>
                <w:u w:val="single"/>
              </w:rPr>
              <w:t>différents</w:t>
            </w:r>
            <w:proofErr w:type="spellEnd"/>
            <w:r w:rsidRPr="006D3CF6">
              <w:rPr>
                <w:rFonts w:ascii="Calibri" w:hAnsi="Calibri"/>
                <w:sz w:val="22"/>
                <w:szCs w:val="22"/>
                <w:u w:val="single"/>
              </w:rPr>
              <w:t xml:space="preserve"> cours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6BD2">
              <w:rPr>
                <w:rFonts w:ascii="Calibri" w:hAnsi="Calibri"/>
                <w:sz w:val="22"/>
                <w:szCs w:val="22"/>
              </w:rPr>
              <w:t xml:space="preserve">est </w:t>
            </w:r>
            <w:r>
              <w:rPr>
                <w:rFonts w:ascii="Calibri" w:hAnsi="Calibri"/>
                <w:sz w:val="22"/>
                <w:szCs w:val="22"/>
              </w:rPr>
              <w:t xml:space="preserve">essentielle pour assurer un esprit «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aux Choix » dans l’ensemble de </w:t>
            </w:r>
          </w:p>
          <w:p w:rsidR="00D241EA" w:rsidRPr="00D241EA" w:rsidRDefault="00035102" w:rsidP="00035102">
            <w:pPr>
              <w:ind w:right="-4335"/>
              <w:rPr>
                <w:lang w:val="fr-BE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la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formation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proposée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élèves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3P Polyvalente.</w:t>
            </w:r>
          </w:p>
          <w:p w:rsidR="00D241EA" w:rsidRPr="00D241EA" w:rsidRDefault="00D241EA" w:rsidP="003F381B">
            <w:pPr>
              <w:rPr>
                <w:lang w:val="fr-BE"/>
              </w:rPr>
            </w:pPr>
          </w:p>
        </w:tc>
      </w:tr>
      <w:tr w:rsidR="00D241EA" w:rsidRPr="00A86BD2" w:rsidTr="00A708B7">
        <w:trPr>
          <w:trHeight w:val="1555"/>
        </w:trPr>
        <w:tc>
          <w:tcPr>
            <w:tcW w:w="7236" w:type="dxa"/>
            <w:gridSpan w:val="2"/>
          </w:tcPr>
          <w:p w:rsidR="00170C18" w:rsidRPr="00170C18" w:rsidRDefault="00A86BD2" w:rsidP="00170C18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fr-BE"/>
              </w:rPr>
              <w:t xml:space="preserve">12 </w:t>
            </w:r>
            <w:r w:rsidR="00D241EA" w:rsidRPr="00170C18">
              <w:rPr>
                <w:b/>
                <w:u w:val="single"/>
                <w:lang w:val="fr-BE"/>
              </w:rPr>
              <w:t>ECOLE</w:t>
            </w:r>
            <w:r w:rsidR="00170C18" w:rsidRPr="00170C18">
              <w:rPr>
                <w:b/>
                <w:u w:val="single"/>
                <w:lang w:val="fr-BE"/>
              </w:rPr>
              <w:t>S proposent la 3P POL en 2020-2021 :</w:t>
            </w:r>
          </w:p>
          <w:p w:rsidR="00D241EA" w:rsidRDefault="00170C18" w:rsidP="003F381B">
            <w:pPr>
              <w:rPr>
                <w:bCs/>
                <w:sz w:val="22"/>
                <w:szCs w:val="22"/>
              </w:rPr>
            </w:pPr>
            <w:r w:rsidRPr="00170C18">
              <w:rPr>
                <w:bCs/>
                <w:sz w:val="22"/>
                <w:szCs w:val="22"/>
              </w:rPr>
              <w:t xml:space="preserve">Institut d’Enseignement Technique Notre-Dame </w:t>
            </w:r>
            <w:r w:rsidR="00BD404F">
              <w:rPr>
                <w:bCs/>
                <w:sz w:val="22"/>
                <w:szCs w:val="22"/>
              </w:rPr>
              <w:t>–</w:t>
            </w:r>
            <w:r w:rsidRPr="00170C18">
              <w:rPr>
                <w:bCs/>
                <w:sz w:val="22"/>
                <w:szCs w:val="22"/>
              </w:rPr>
              <w:t xml:space="preserve"> </w:t>
            </w:r>
            <w:r w:rsidRPr="00BD404F">
              <w:rPr>
                <w:bCs/>
                <w:sz w:val="22"/>
                <w:szCs w:val="22"/>
                <w:u w:val="single"/>
              </w:rPr>
              <w:t>Charleroi</w:t>
            </w:r>
          </w:p>
          <w:p w:rsidR="00BD404F" w:rsidRDefault="00BD404F" w:rsidP="003F38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Institut Sainte-Anne – </w:t>
            </w:r>
            <w:r w:rsidRPr="00BD404F">
              <w:rPr>
                <w:bCs/>
                <w:sz w:val="22"/>
                <w:szCs w:val="22"/>
                <w:u w:val="single"/>
              </w:rPr>
              <w:t>Gosselies</w:t>
            </w:r>
          </w:p>
          <w:p w:rsidR="009F23E2" w:rsidRDefault="00BD404F" w:rsidP="009F23E2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Lycée Mixte François de Sales – </w:t>
            </w:r>
            <w:r w:rsidRPr="00BD404F">
              <w:rPr>
                <w:bCs/>
                <w:sz w:val="22"/>
                <w:szCs w:val="22"/>
                <w:u w:val="single"/>
              </w:rPr>
              <w:t>Gilly</w:t>
            </w:r>
          </w:p>
          <w:p w:rsidR="009F23E2" w:rsidRDefault="009F23E2" w:rsidP="009F23E2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Institut Sainte-Marie – </w:t>
            </w:r>
            <w:r w:rsidRPr="00A86BD2">
              <w:rPr>
                <w:bCs/>
                <w:sz w:val="22"/>
                <w:szCs w:val="22"/>
                <w:u w:val="single"/>
              </w:rPr>
              <w:t>Fontaine</w:t>
            </w:r>
            <w:r>
              <w:rPr>
                <w:bCs/>
                <w:sz w:val="22"/>
                <w:szCs w:val="22"/>
                <w:u w:val="single"/>
              </w:rPr>
              <w:t>-</w:t>
            </w:r>
            <w:r w:rsidRPr="00A86BD2">
              <w:rPr>
                <w:bCs/>
                <w:sz w:val="22"/>
                <w:szCs w:val="22"/>
                <w:u w:val="single"/>
              </w:rPr>
              <w:t xml:space="preserve"> l’</w:t>
            </w:r>
            <w:proofErr w:type="spellStart"/>
            <w:r w:rsidRPr="00A86BD2">
              <w:rPr>
                <w:bCs/>
                <w:sz w:val="22"/>
                <w:szCs w:val="22"/>
                <w:u w:val="single"/>
              </w:rPr>
              <w:t>Evêque</w:t>
            </w:r>
            <w:proofErr w:type="spellEnd"/>
          </w:p>
          <w:p w:rsidR="00BD404F" w:rsidRDefault="00BD404F" w:rsidP="003F38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Institut Sacré-Cœur et Saint-Joseph – </w:t>
            </w:r>
            <w:r w:rsidRPr="00BD404F">
              <w:rPr>
                <w:bCs/>
                <w:sz w:val="22"/>
                <w:szCs w:val="22"/>
                <w:u w:val="single"/>
              </w:rPr>
              <w:t>Visé</w:t>
            </w:r>
          </w:p>
          <w:p w:rsidR="00BD404F" w:rsidRDefault="00BD404F" w:rsidP="003F38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Institut d’Enseignement Technique Don Bosco – </w:t>
            </w:r>
            <w:r w:rsidRPr="00BD404F">
              <w:rPr>
                <w:bCs/>
                <w:sz w:val="22"/>
                <w:szCs w:val="22"/>
                <w:u w:val="single"/>
              </w:rPr>
              <w:t>Verviers</w:t>
            </w:r>
          </w:p>
          <w:p w:rsidR="00BD404F" w:rsidRDefault="00BD404F" w:rsidP="003F381B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Institut </w:t>
            </w:r>
            <w:proofErr w:type="spellStart"/>
            <w:r w:rsidR="009F23E2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ardijn</w:t>
            </w:r>
            <w:proofErr w:type="spellEnd"/>
            <w:r>
              <w:rPr>
                <w:bCs/>
                <w:sz w:val="22"/>
                <w:szCs w:val="22"/>
              </w:rPr>
              <w:t xml:space="preserve">-Lorraine – </w:t>
            </w:r>
            <w:r w:rsidRPr="00BD404F">
              <w:rPr>
                <w:bCs/>
                <w:sz w:val="22"/>
                <w:szCs w:val="22"/>
                <w:u w:val="single"/>
              </w:rPr>
              <w:t>Arlon</w:t>
            </w:r>
          </w:p>
          <w:p w:rsidR="009F23E2" w:rsidRDefault="00BD404F" w:rsidP="003F381B">
            <w:pPr>
              <w:rPr>
                <w:bCs/>
                <w:sz w:val="22"/>
                <w:szCs w:val="22"/>
              </w:rPr>
            </w:pPr>
            <w:r w:rsidRPr="00BD404F">
              <w:rPr>
                <w:bCs/>
                <w:sz w:val="22"/>
                <w:szCs w:val="22"/>
              </w:rPr>
              <w:t>Institut Saint-Roch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D404F">
              <w:rPr>
                <w:bCs/>
                <w:sz w:val="22"/>
                <w:szCs w:val="22"/>
                <w:u w:val="single"/>
              </w:rPr>
              <w:t>Marche-en-Famenne</w:t>
            </w:r>
            <w:r w:rsidR="009F23E2">
              <w:rPr>
                <w:bCs/>
                <w:sz w:val="22"/>
                <w:szCs w:val="22"/>
              </w:rPr>
              <w:t xml:space="preserve"> </w:t>
            </w:r>
          </w:p>
          <w:p w:rsidR="00BD404F" w:rsidRPr="00BD404F" w:rsidRDefault="009F23E2" w:rsidP="003F381B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Ecole</w:t>
            </w:r>
            <w:proofErr w:type="spellEnd"/>
            <w:r>
              <w:rPr>
                <w:bCs/>
                <w:sz w:val="22"/>
                <w:szCs w:val="22"/>
              </w:rPr>
              <w:t xml:space="preserve"> Secondaire Libre Saint-Hubert – </w:t>
            </w:r>
            <w:r w:rsidRPr="00A86BD2">
              <w:rPr>
                <w:bCs/>
                <w:sz w:val="22"/>
                <w:szCs w:val="22"/>
                <w:u w:val="single"/>
              </w:rPr>
              <w:t>Saint-Hubert</w:t>
            </w:r>
          </w:p>
          <w:p w:rsidR="00BD404F" w:rsidRDefault="00BD404F" w:rsidP="003F381B">
            <w:p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Collège Notre-Dame – </w:t>
            </w:r>
            <w:r w:rsidRPr="00BD404F">
              <w:rPr>
                <w:bCs/>
                <w:sz w:val="22"/>
                <w:szCs w:val="22"/>
                <w:u w:val="single"/>
              </w:rPr>
              <w:t>Dinant</w:t>
            </w:r>
          </w:p>
          <w:p w:rsidR="00BD404F" w:rsidRDefault="00BD404F" w:rsidP="003F381B">
            <w:pPr>
              <w:rPr>
                <w:bCs/>
                <w:sz w:val="22"/>
                <w:szCs w:val="22"/>
                <w:u w:val="single"/>
              </w:rPr>
            </w:pPr>
            <w:r w:rsidRPr="00BD404F">
              <w:rPr>
                <w:bCs/>
                <w:sz w:val="22"/>
                <w:szCs w:val="22"/>
              </w:rPr>
              <w:t>Institut Saint-</w:t>
            </w:r>
            <w:r>
              <w:rPr>
                <w:bCs/>
                <w:sz w:val="22"/>
                <w:szCs w:val="22"/>
              </w:rPr>
              <w:t>J</w:t>
            </w:r>
            <w:r w:rsidRPr="00BD404F">
              <w:rPr>
                <w:bCs/>
                <w:sz w:val="22"/>
                <w:szCs w:val="22"/>
              </w:rPr>
              <w:t>oseph</w:t>
            </w:r>
            <w:r w:rsidR="00A86BD2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  <w:u w:val="single"/>
              </w:rPr>
              <w:t>Jambes</w:t>
            </w:r>
          </w:p>
          <w:p w:rsidR="00BD404F" w:rsidRDefault="00A86BD2" w:rsidP="00A86B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Institut Sainte-Ursule – </w:t>
            </w:r>
            <w:r w:rsidRPr="00A86BD2">
              <w:rPr>
                <w:bCs/>
                <w:sz w:val="22"/>
                <w:szCs w:val="22"/>
                <w:u w:val="single"/>
              </w:rPr>
              <w:t>Namur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86BD2" w:rsidRPr="00170C18" w:rsidRDefault="00A86BD2" w:rsidP="009F23E2">
            <w:pPr>
              <w:rPr>
                <w:bCs/>
                <w:sz w:val="22"/>
                <w:szCs w:val="22"/>
              </w:rPr>
            </w:pPr>
          </w:p>
        </w:tc>
        <w:tc>
          <w:tcPr>
            <w:tcW w:w="7341" w:type="dxa"/>
          </w:tcPr>
          <w:p w:rsidR="00D241EA" w:rsidRDefault="00A86BD2" w:rsidP="00A86BD2">
            <w:pPr>
              <w:ind w:right="-4335"/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C</w:t>
            </w:r>
            <w:r w:rsidR="00D241EA" w:rsidRPr="00D241EA">
              <w:rPr>
                <w:b/>
                <w:lang w:val="fr-BE"/>
              </w:rPr>
              <w:t>ontact</w:t>
            </w:r>
            <w:r>
              <w:rPr>
                <w:b/>
                <w:lang w:val="fr-BE"/>
              </w:rPr>
              <w:t>s </w:t>
            </w:r>
          </w:p>
          <w:p w:rsidR="00A86BD2" w:rsidRDefault="00A86BD2" w:rsidP="00A86BD2">
            <w:pPr>
              <w:ind w:right="-4335"/>
              <w:rPr>
                <w:lang w:val="fr-BE"/>
              </w:rPr>
            </w:pPr>
            <w:r>
              <w:rPr>
                <w:lang w:val="fr-BE"/>
              </w:rPr>
              <w:t>Pour les questions pé</w:t>
            </w:r>
            <w:r w:rsidR="009F23E2">
              <w:rPr>
                <w:lang w:val="fr-BE"/>
              </w:rPr>
              <w:t>d</w:t>
            </w:r>
            <w:r>
              <w:rPr>
                <w:lang w:val="fr-BE"/>
              </w:rPr>
              <w:t>agogiques :</w:t>
            </w:r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eastAsia="Times New Roman" w:hAnsi="inherit" w:cs="Arial"/>
                <w:color w:val="156CDA"/>
                <w:sz w:val="20"/>
                <w:szCs w:val="20"/>
                <w:lang w:val="fr-BE"/>
              </w:rPr>
            </w:pPr>
            <w:r w:rsidRPr="00A86BD2">
              <w:rPr>
                <w:rFonts w:ascii="inherit" w:hAnsi="inherit" w:cs="Arial"/>
                <w:color w:val="000000" w:themeColor="text1"/>
                <w:sz w:val="20"/>
                <w:szCs w:val="20"/>
              </w:rPr>
              <w:t>Anne Caudron,</w:t>
            </w:r>
            <w:r w:rsidRPr="00A86BD2">
              <w:rPr>
                <w:rStyle w:val="apple-converted-space"/>
                <w:rFonts w:ascii="inherit" w:hAnsi="inherit" w:cs="Arial"/>
                <w:color w:val="000000" w:themeColor="text1"/>
                <w:sz w:val="20"/>
                <w:szCs w:val="20"/>
              </w:rPr>
              <w:t> </w:t>
            </w:r>
            <w:hyperlink r:id="rId6" w:history="1">
              <w:r w:rsidRPr="00A86BD2">
                <w:rPr>
                  <w:rStyle w:val="Lienhypertexte"/>
                  <w:rFonts w:ascii="inherit" w:hAnsi="inherit" w:cs="Arial"/>
                  <w:color w:val="156CDA"/>
                  <w:sz w:val="20"/>
                  <w:szCs w:val="20"/>
                  <w:bdr w:val="none" w:sz="0" w:space="0" w:color="auto" w:frame="1"/>
                </w:rPr>
                <w:t>anne.caudron@segec.be</w:t>
              </w:r>
            </w:hyperlink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color w:val="7A7A7A"/>
                <w:sz w:val="20"/>
                <w:szCs w:val="20"/>
              </w:rPr>
            </w:pPr>
            <w:r w:rsidRPr="00A86BD2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Philippe Van Geel,</w:t>
            </w:r>
            <w:r w:rsidRPr="00A86BD2">
              <w:rPr>
                <w:rStyle w:val="apple-converted-space"/>
                <w:rFonts w:ascii="inherit" w:hAnsi="inherit" w:cs="Arial"/>
                <w:color w:val="000000" w:themeColor="text1"/>
                <w:sz w:val="20"/>
                <w:szCs w:val="20"/>
              </w:rPr>
              <w:t> </w:t>
            </w:r>
            <w:hyperlink r:id="rId7" w:history="1">
              <w:r w:rsidRPr="00A86BD2">
                <w:rPr>
                  <w:rStyle w:val="Lienhypertexte"/>
                  <w:rFonts w:ascii="inherit" w:hAnsi="inherit" w:cs="Arial"/>
                  <w:color w:val="156CDA"/>
                  <w:sz w:val="20"/>
                  <w:szCs w:val="20"/>
                  <w:bdr w:val="none" w:sz="0" w:space="0" w:color="auto" w:frame="1"/>
                </w:rPr>
                <w:t>philippe.vangeel@segec.be</w:t>
              </w:r>
            </w:hyperlink>
          </w:p>
          <w:p w:rsid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color w:val="156CDA"/>
                <w:sz w:val="20"/>
                <w:szCs w:val="20"/>
              </w:rPr>
            </w:pPr>
            <w:r w:rsidRPr="00A86BD2">
              <w:rPr>
                <w:rFonts w:ascii="inherit" w:hAnsi="inherit" w:cs="Arial"/>
                <w:color w:val="000000" w:themeColor="text1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A86BD2">
              <w:rPr>
                <w:rFonts w:ascii="inherit" w:hAnsi="inherit" w:cs="Arial"/>
                <w:color w:val="000000" w:themeColor="text1"/>
                <w:sz w:val="20"/>
                <w:szCs w:val="20"/>
                <w:lang w:val="en-US"/>
              </w:rPr>
              <w:t>Magniette</w:t>
            </w:r>
            <w:proofErr w:type="spellEnd"/>
            <w:r w:rsidRPr="00A86BD2">
              <w:rPr>
                <w:rFonts w:ascii="inherit" w:hAnsi="inherit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A86BD2">
              <w:rPr>
                <w:rStyle w:val="apple-converted-space"/>
                <w:rFonts w:ascii="inherit" w:hAnsi="inherit" w:cs="Arial"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8" w:history="1">
              <w:r w:rsidRPr="00A86BD2">
                <w:rPr>
                  <w:rStyle w:val="Lienhypertexte"/>
                  <w:rFonts w:ascii="inherit" w:hAnsi="inherit" w:cs="Arial"/>
                  <w:color w:val="156CDA"/>
                  <w:sz w:val="20"/>
                  <w:szCs w:val="20"/>
                  <w:bdr w:val="none" w:sz="0" w:space="0" w:color="auto" w:frame="1"/>
                  <w:lang w:val="en-US"/>
                </w:rPr>
                <w:t>patrick.magniette@segec.be</w:t>
              </w:r>
            </w:hyperlink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color w:val="7A7A7A"/>
                <w:sz w:val="20"/>
                <w:szCs w:val="20"/>
                <w:lang w:val="en-US"/>
              </w:rPr>
            </w:pPr>
          </w:p>
          <w:p w:rsidR="00A86BD2" w:rsidRDefault="00A86BD2" w:rsidP="00A86BD2">
            <w:pPr>
              <w:rPr>
                <w:lang w:val="en-US"/>
              </w:rPr>
            </w:pPr>
            <w:r>
              <w:rPr>
                <w:lang w:val="en-US"/>
              </w:rPr>
              <w:t xml:space="preserve">Pour les questions </w:t>
            </w:r>
            <w:proofErr w:type="spellStart"/>
            <w:r>
              <w:rPr>
                <w:lang w:val="en-US"/>
              </w:rPr>
              <w:t>organisationnelles</w:t>
            </w:r>
            <w:proofErr w:type="spellEnd"/>
            <w:r>
              <w:rPr>
                <w:lang w:val="en-US"/>
              </w:rPr>
              <w:t>:</w:t>
            </w:r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val="fr-BE"/>
              </w:rPr>
            </w:pPr>
            <w:r w:rsidRPr="00A86BD2">
              <w:rPr>
                <w:rFonts w:ascii="inherit" w:hAnsi="inherit" w:cs="Arial"/>
                <w:sz w:val="20"/>
                <w:szCs w:val="20"/>
              </w:rPr>
              <w:t>Philippe Van Geel,</w:t>
            </w:r>
            <w:r w:rsidRPr="00A86BD2">
              <w:rPr>
                <w:rStyle w:val="apple-converted-space"/>
                <w:rFonts w:ascii="inherit" w:hAnsi="inherit" w:cs="Arial"/>
                <w:color w:val="0070C0"/>
                <w:sz w:val="20"/>
                <w:szCs w:val="20"/>
              </w:rPr>
              <w:t> </w:t>
            </w:r>
            <w:hyperlink r:id="rId9" w:history="1">
              <w:r w:rsidRPr="00A86BD2">
                <w:rPr>
                  <w:rStyle w:val="Lienhypertexte"/>
                  <w:rFonts w:ascii="inherit" w:hAnsi="inherit" w:cs="Arial"/>
                  <w:color w:val="0070C0"/>
                  <w:sz w:val="20"/>
                  <w:szCs w:val="20"/>
                  <w:bdr w:val="none" w:sz="0" w:space="0" w:color="auto" w:frame="1"/>
                </w:rPr>
                <w:t>philippe.vangeel@segec.be</w:t>
              </w:r>
            </w:hyperlink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A86BD2">
              <w:rPr>
                <w:rFonts w:ascii="inherit" w:hAnsi="inherit" w:cs="Arial"/>
                <w:sz w:val="20"/>
                <w:szCs w:val="20"/>
              </w:rPr>
              <w:t xml:space="preserve">Jean-Luc </w:t>
            </w:r>
            <w:proofErr w:type="spellStart"/>
            <w:r w:rsidRPr="00A86BD2">
              <w:rPr>
                <w:rFonts w:ascii="inherit" w:hAnsi="inherit" w:cs="Arial"/>
                <w:sz w:val="20"/>
                <w:szCs w:val="20"/>
              </w:rPr>
              <w:t>Brigode</w:t>
            </w:r>
            <w:proofErr w:type="spellEnd"/>
            <w:r w:rsidRPr="00A86BD2">
              <w:rPr>
                <w:rFonts w:ascii="inherit" w:hAnsi="inherit" w:cs="Arial"/>
                <w:sz w:val="20"/>
                <w:szCs w:val="20"/>
              </w:rPr>
              <w:t>,</w:t>
            </w:r>
            <w:r w:rsidRPr="00A86BD2">
              <w:rPr>
                <w:rStyle w:val="apple-converted-space"/>
                <w:rFonts w:ascii="inherit" w:hAnsi="inherit" w:cs="Arial"/>
                <w:color w:val="0070C0"/>
                <w:sz w:val="20"/>
                <w:szCs w:val="20"/>
              </w:rPr>
              <w:t> </w:t>
            </w:r>
            <w:hyperlink r:id="rId10" w:history="1">
              <w:r w:rsidRPr="00A86BD2">
                <w:rPr>
                  <w:rStyle w:val="Lienhypertexte"/>
                  <w:rFonts w:ascii="inherit" w:hAnsi="inherit" w:cs="Arial"/>
                  <w:color w:val="0070C0"/>
                  <w:sz w:val="20"/>
                  <w:szCs w:val="20"/>
                  <w:bdr w:val="none" w:sz="0" w:space="0" w:color="auto" w:frame="1"/>
                </w:rPr>
                <w:t>jeanluc.brigode@segec.be</w:t>
              </w:r>
            </w:hyperlink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A86BD2">
              <w:rPr>
                <w:rFonts w:ascii="inherit" w:hAnsi="inherit" w:cs="Arial"/>
                <w:sz w:val="20"/>
                <w:szCs w:val="20"/>
              </w:rPr>
              <w:t xml:space="preserve">Fabrice </w:t>
            </w:r>
            <w:proofErr w:type="spellStart"/>
            <w:r w:rsidRPr="00A86BD2">
              <w:rPr>
                <w:rFonts w:ascii="inherit" w:hAnsi="inherit" w:cs="Arial"/>
                <w:sz w:val="20"/>
                <w:szCs w:val="20"/>
              </w:rPr>
              <w:t>Glogowski</w:t>
            </w:r>
            <w:proofErr w:type="spellEnd"/>
            <w:r w:rsidRPr="00A86BD2">
              <w:rPr>
                <w:rFonts w:ascii="inherit" w:hAnsi="inherit" w:cs="Arial"/>
                <w:sz w:val="20"/>
                <w:szCs w:val="20"/>
              </w:rPr>
              <w:t>,</w:t>
            </w:r>
            <w:r w:rsidRPr="00A86BD2">
              <w:rPr>
                <w:rStyle w:val="apple-converted-space"/>
                <w:rFonts w:ascii="inherit" w:hAnsi="inherit" w:cs="Arial"/>
                <w:color w:val="0070C0"/>
                <w:sz w:val="20"/>
                <w:szCs w:val="20"/>
              </w:rPr>
              <w:t> </w:t>
            </w:r>
            <w:hyperlink r:id="rId11" w:history="1">
              <w:r w:rsidRPr="00A86BD2">
                <w:rPr>
                  <w:rStyle w:val="Lienhypertexte"/>
                  <w:rFonts w:ascii="inherit" w:hAnsi="inherit" w:cs="Arial"/>
                  <w:color w:val="0070C0"/>
                  <w:sz w:val="20"/>
                  <w:szCs w:val="20"/>
                  <w:bdr w:val="none" w:sz="0" w:space="0" w:color="auto" w:frame="1"/>
                </w:rPr>
                <w:t>fabrice.glogowski@segec.be</w:t>
              </w:r>
            </w:hyperlink>
          </w:p>
          <w:p w:rsidR="00A86BD2" w:rsidRPr="00A86BD2" w:rsidRDefault="00A86BD2" w:rsidP="00A86BD2">
            <w:pPr>
              <w:ind w:left="120"/>
              <w:textAlignment w:val="baseline"/>
              <w:rPr>
                <w:rFonts w:ascii="inherit" w:hAnsi="inherit" w:cs="Arial"/>
                <w:color w:val="0070C0"/>
                <w:sz w:val="20"/>
                <w:szCs w:val="20"/>
                <w:lang w:val="en-US"/>
              </w:rPr>
            </w:pPr>
            <w:r w:rsidRPr="00A86BD2">
              <w:rPr>
                <w:rFonts w:ascii="inherit" w:hAnsi="inherit" w:cs="Arial"/>
                <w:sz w:val="20"/>
                <w:szCs w:val="20"/>
                <w:lang w:val="en-US"/>
              </w:rPr>
              <w:t xml:space="preserve">Patrick </w:t>
            </w:r>
            <w:proofErr w:type="spellStart"/>
            <w:r w:rsidRPr="00A86BD2">
              <w:rPr>
                <w:rFonts w:ascii="inherit" w:hAnsi="inherit" w:cs="Arial"/>
                <w:sz w:val="20"/>
                <w:szCs w:val="20"/>
                <w:lang w:val="en-US"/>
              </w:rPr>
              <w:t>Magniette</w:t>
            </w:r>
            <w:proofErr w:type="spellEnd"/>
            <w:r w:rsidRPr="00A86BD2">
              <w:rPr>
                <w:rFonts w:ascii="inherit" w:hAnsi="inherit" w:cs="Arial"/>
                <w:sz w:val="20"/>
                <w:szCs w:val="20"/>
                <w:lang w:val="en-US"/>
              </w:rPr>
              <w:t>,  </w:t>
            </w:r>
            <w:hyperlink r:id="rId12" w:history="1">
              <w:r w:rsidRPr="00A86BD2">
                <w:rPr>
                  <w:rStyle w:val="Lienhypertexte"/>
                  <w:rFonts w:ascii="inherit" w:hAnsi="inherit" w:cs="Arial"/>
                  <w:color w:val="0070C0"/>
                  <w:sz w:val="20"/>
                  <w:szCs w:val="20"/>
                  <w:bdr w:val="none" w:sz="0" w:space="0" w:color="auto" w:frame="1"/>
                  <w:lang w:val="en-US"/>
                </w:rPr>
                <w:t>patrick.magniette@segec.be</w:t>
              </w:r>
            </w:hyperlink>
          </w:p>
          <w:p w:rsidR="00A86BD2" w:rsidRPr="00A86BD2" w:rsidRDefault="00A86BD2" w:rsidP="00A86BD2">
            <w:pPr>
              <w:textAlignment w:val="baseline"/>
              <w:rPr>
                <w:rFonts w:ascii="inherit" w:hAnsi="inherit" w:cs="Times New Roman"/>
                <w:lang w:val="en-US"/>
              </w:rPr>
            </w:pPr>
          </w:p>
          <w:p w:rsidR="00A86BD2" w:rsidRPr="00A86BD2" w:rsidRDefault="00A86BD2" w:rsidP="00A86BD2">
            <w:pPr>
              <w:rPr>
                <w:lang w:val="en-US"/>
              </w:rPr>
            </w:pPr>
          </w:p>
        </w:tc>
      </w:tr>
    </w:tbl>
    <w:p w:rsidR="00D241EA" w:rsidRPr="00A86BD2" w:rsidRDefault="00D241EA" w:rsidP="00A86BD2">
      <w:pPr>
        <w:rPr>
          <w:lang w:val="en-US"/>
        </w:rPr>
      </w:pPr>
    </w:p>
    <w:sectPr w:rsidR="00D241EA" w:rsidRPr="00A86BD2" w:rsidSect="00A86BD2">
      <w:pgSz w:w="16820" w:h="11900" w:orient="landscape"/>
      <w:pgMar w:top="14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5052"/>
    <w:multiLevelType w:val="hybridMultilevel"/>
    <w:tmpl w:val="69A4406E"/>
    <w:lvl w:ilvl="0" w:tplc="080C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3ACA1629"/>
    <w:multiLevelType w:val="multilevel"/>
    <w:tmpl w:val="AECA0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C5D3E"/>
    <w:multiLevelType w:val="multilevel"/>
    <w:tmpl w:val="AABEA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EA"/>
    <w:rsid w:val="00035102"/>
    <w:rsid w:val="00170C18"/>
    <w:rsid w:val="003F1CAD"/>
    <w:rsid w:val="00436E38"/>
    <w:rsid w:val="004D654D"/>
    <w:rsid w:val="005254C7"/>
    <w:rsid w:val="006A3F0D"/>
    <w:rsid w:val="006D3CF6"/>
    <w:rsid w:val="009F23E2"/>
    <w:rsid w:val="00A708B7"/>
    <w:rsid w:val="00A86BD2"/>
    <w:rsid w:val="00BD404F"/>
    <w:rsid w:val="00D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E03F"/>
  <w15:chartTrackingRefBased/>
  <w15:docId w15:val="{CD154FFF-203C-374E-9016-7D99A04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1EA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8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Paragraphedeliste">
    <w:name w:val="List Paragraph"/>
    <w:basedOn w:val="Normal"/>
    <w:uiPriority w:val="34"/>
    <w:qFormat/>
    <w:rsid w:val="005254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0C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0C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0C1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8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2252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agniette@segec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e.vangeel@segec.be" TargetMode="External"/><Relationship Id="rId12" Type="http://schemas.openxmlformats.org/officeDocument/2006/relationships/hyperlink" Target="mailto:patrick.magniette@sege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audron@segec.be" TargetMode="External"/><Relationship Id="rId11" Type="http://schemas.openxmlformats.org/officeDocument/2006/relationships/hyperlink" Target="mailto:fabrice.glogowski@segec.be" TargetMode="External"/><Relationship Id="rId5" Type="http://schemas.openxmlformats.org/officeDocument/2006/relationships/image" Target="media/image1.tiff"/><Relationship Id="rId10" Type="http://schemas.openxmlformats.org/officeDocument/2006/relationships/hyperlink" Target="mailto:jeanluc.brigode@sege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e.vangeel@sege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 Anne</dc:creator>
  <cp:keywords/>
  <dc:description/>
  <cp:lastModifiedBy>Caudron Anne</cp:lastModifiedBy>
  <cp:revision>3</cp:revision>
  <dcterms:created xsi:type="dcterms:W3CDTF">2020-12-08T11:48:00Z</dcterms:created>
  <dcterms:modified xsi:type="dcterms:W3CDTF">2020-12-08T12:03:00Z</dcterms:modified>
</cp:coreProperties>
</file>